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C76D" w14:textId="77777777" w:rsidR="00D2741F" w:rsidRPr="00D2741F" w:rsidRDefault="00D2741F" w:rsidP="00D27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  <w:t>Les aides financières pour les élèves et parents d’élèves de la maternelle aux études supérieures</w:t>
      </w:r>
    </w:p>
    <w:p w14:paraId="75E5806E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La scolarité des enfants, adolescents et jeunes adultes induit des dépenses incontournables et onéreuses pour les familles. Allocation de Rentrée Scolaire, bourses, </w:t>
      </w:r>
      <w:proofErr w:type="spellStart"/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Pass’Sport</w:t>
      </w:r>
      <w:proofErr w:type="spellEnd"/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… différentes aides financières peuvent justement soutenir les foyers aux revenus modestes.</w:t>
      </w:r>
    </w:p>
    <w:p w14:paraId="007CE204" w14:textId="77777777" w:rsidR="00D2741F" w:rsidRPr="00D2741F" w:rsidRDefault="00D2741F" w:rsidP="00D2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Les aides accessibles quel que soit le niveau d’études</w:t>
      </w:r>
    </w:p>
    <w:p w14:paraId="51F77637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Allocation de Rentrée Scolaire (ARS)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: pour soutenir les familles d’enfants de 6 à 18 ans, afin de faire face aux dépenses de la rentrée scolaire.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En savoir plus : </w:t>
      </w:r>
      <w:hyperlink r:id="rId4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caf.fr</w:t>
        </w:r>
      </w:hyperlink>
    </w:p>
    <w:p w14:paraId="1D7EEFC1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Allocation d’éducation de l’enfant handicapé (</w:t>
      </w:r>
      <w:proofErr w:type="spellStart"/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Aeeh</w:t>
      </w:r>
      <w:proofErr w:type="spellEnd"/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)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pour soutenir les familles dont un enfant de moins de 20 ans présente une incapacité de 80 %.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En savoir plus : </w:t>
      </w:r>
      <w:hyperlink r:id="rId5" w:anchor=":~:text=Le%20montant%20de%20base%20de,s%27adapter%20%C3%A0%20votre%20situation.&amp;text=Le%20montant%20du%20compl%C3%A9ment%2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caf.fr</w:t>
        </w:r>
      </w:hyperlink>
    </w:p>
    <w:p w14:paraId="29C080E7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Aide au temps libre (ATL) et bons loisirs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: pour le financement des activités extra-scolaires des enfants et adolescents de 4 à 16 ans.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6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591DE3D3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Accès à des repas à 1 </w:t>
      </w:r>
      <w:proofErr w:type="gramStart"/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euros 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:</w:t>
      </w:r>
      <w:proofErr w:type="gramEnd"/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pour avoir accès à une alimentation saine et à bon prix, des idées de recettes sont indispensables quand on est étudiant afin d’éviter le surpoids.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7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agissons pour </w:t>
        </w:r>
        <w:proofErr w:type="spellStart"/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l’egalite</w:t>
        </w:r>
        <w:proofErr w:type="spellEnd"/>
      </w:hyperlink>
    </w:p>
    <w:p w14:paraId="6ABA018C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Pass’Sport</w:t>
      </w:r>
      <w:proofErr w:type="spellEnd"/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pour financer la rentrée sportive des enfants et jeunes adultes inscrits dans une association sportive volontaire.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8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sports.gouv.fr</w:t>
        </w:r>
      </w:hyperlink>
    </w:p>
    <w:p w14:paraId="7CDA4746" w14:textId="77777777" w:rsidR="00D2741F" w:rsidRPr="00D2741F" w:rsidRDefault="00D2741F" w:rsidP="00D2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Les aides à l’école maternelle</w:t>
      </w:r>
    </w:p>
    <w:p w14:paraId="5CED4C74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Complément de libre choix du mode de garde (</w:t>
      </w:r>
      <w:proofErr w:type="spellStart"/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Cmg</w:t>
      </w:r>
      <w:proofErr w:type="spellEnd"/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)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pour financer les prestations de garde des enfants âgés de moins de 6 ans en dehors des heures d’école.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9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caf.fr</w:t>
        </w:r>
      </w:hyperlink>
    </w:p>
    <w:p w14:paraId="169ADA15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Cantine à 1 €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aide de l’État destinée aux communes rurales défavorisées de moins de 10 000 habitants et qui profite aux familles les plus modestes.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0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asp-public.fr</w:t>
        </w:r>
      </w:hyperlink>
    </w:p>
    <w:p w14:paraId="4DAD063C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N.B. Les familles d’enfants âgés de 3 à 6 ans scolarisés en école maternelle ne peuvent pas prétendre à l’Allocation de Rentrée Scolaire.</w:t>
      </w:r>
    </w:p>
    <w:p w14:paraId="01D504E4" w14:textId="77777777" w:rsidR="00D2741F" w:rsidRPr="00D2741F" w:rsidRDefault="00D2741F" w:rsidP="00D2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Les aides à l’école élémentaire</w:t>
      </w:r>
    </w:p>
    <w:p w14:paraId="6429512E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lastRenderedPageBreak/>
        <w:t>Bourse de fréquentation scolaire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 aux enfants demi-pensionnaires ou pensionnaires scolarisés dans une école élémentaire éloignée du domicile familial.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1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201C2DF4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Cantine à 1 €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: aide de l’État destinée aux communes rurales défavorisées de moins de 10 000 habitants et qui profite aux familles les plus modestes.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2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asp-public.fr</w:t>
        </w:r>
      </w:hyperlink>
    </w:p>
    <w:p w14:paraId="741BA4C2" w14:textId="77777777" w:rsidR="00D2741F" w:rsidRPr="00D2741F" w:rsidRDefault="00D2741F" w:rsidP="00D2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Les aides au collège</w:t>
      </w:r>
    </w:p>
    <w:p w14:paraId="638C8C61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Bourses des collèges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attribuées aux collégiens pour une année scolaire, et versées en trois fois selon les ressources et le nombre d’enfants à charge du foyer.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hyperlink r:id="rId13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Accès au simulateur de bourse</w:t>
        </w:r>
      </w:hyperlink>
    </w:p>
    <w:p w14:paraId="21F24047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Fonds social collégien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aide exceptionnelle pour soutenir les familles en situations financières difficiles face aux dépenses de scolarité de leurs enfants collégiens.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4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6598B1DE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Fonds social pour les cantines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fond attribué par le chef d’établissement scolaire aux collégiens issus de milieux défavorisés.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5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2DEC75D4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Prime à l’internat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pour les collégiens boursiers et scolarisés en internat.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6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63711A3C" w14:textId="77777777" w:rsidR="00D2741F" w:rsidRPr="00D2741F" w:rsidRDefault="00D2741F" w:rsidP="00D2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Les aides au lycée</w:t>
      </w:r>
    </w:p>
    <w:p w14:paraId="05084FEF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Bourse de lycée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 aux lycéens pour une année scolaire, et versée en trois fois selon les ressources et le nombre d’enfants à charge du foyer.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Accès au </w:t>
      </w:r>
      <w:hyperlink r:id="rId17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simulateur de bourse</w:t>
        </w:r>
      </w:hyperlink>
    </w:p>
    <w:p w14:paraId="2AEF3906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Bourse de reprise d’études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destinée aux lycéens boursiers en reprise d’études professionnelles, suite à l’abandon de leur cursus initial.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8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366B73AC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Bourse au mérite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dispositif complémentaire versé aux lycéens boursiers ayant obtenu une mention “Bien” ou “Très bien” au diplôme national du brevet.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19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534154D1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Fonds social lycéen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aide exceptionnelle pour soutenir les familles en situations financières difficiles face aux dépenses de scolarité de leurs enfants lycéens.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0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0C5FACC5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Fonds social pour les cantines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: fond attribué par le chef d’établissement scolaire aux lycéens issus de milieux défavorisés.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1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4D73C90C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Prime à l’internat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pour les lycéens boursiers et scolarisés en internat.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2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6DF4B623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lastRenderedPageBreak/>
        <w:t>Prime d’équipement dans la voie professionnelle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destinée aux lycéens boursiers en cursus professionnel (brevet technique, CAP, bac pro…).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3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5FFC4251" w14:textId="77777777" w:rsidR="00D2741F" w:rsidRPr="00D2741F" w:rsidRDefault="00D2741F" w:rsidP="00D27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Les aides aux études supérieures</w:t>
      </w:r>
    </w:p>
    <w:p w14:paraId="6B8902F4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Bourse sur critères sociaux (BCS)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 sous conditions (études, âge, diplômes, nationalité et ressources) aux étudiants et futurs étudiants en difficultés matérielles.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hyperlink r:id="rId24" w:anchor="simulateur-de-bourse-testez-votre-eligibilite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Accès au simulateur</w:t>
        </w:r>
      </w:hyperlink>
    </w:p>
    <w:p w14:paraId="02432934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Aide au mérite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: destinée aux étudiants boursiers les plus méritants, percevable jusqu’à plus de 3 fois par un même élève. Permet par exemple d’acheter des logiciels pour ses études au meilleur prix sur </w:t>
      </w:r>
      <w:hyperlink r:id="rId25" w:history="1">
        <w:proofErr w:type="spellStart"/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ploss</w:t>
        </w:r>
        <w:proofErr w:type="spellEnd"/>
      </w:hyperlink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6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65906C5B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Allocation spécifique annuelle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 sous conditions par le Crous aux étudiants non boursiers en difficultés financières durables.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7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7099CF4D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Aide spécifique ponctuelle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 sous conditions par le Crous aux étudiants non boursiers en difficultés financières passagères.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8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57B2B18F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Aide à la mobilité </w:t>
      </w:r>
      <w:proofErr w:type="spellStart"/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Parcoursup</w:t>
      </w:r>
      <w:proofErr w:type="spellEnd"/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 aux bacheliers boursiers qui font leur rentrée dans l’enseignement supérieur en dehors de leur académie de résidence.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29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amp.etudiant.gouv.fr</w:t>
        </w:r>
      </w:hyperlink>
    </w:p>
    <w:p w14:paraId="7D52AD10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Aide à la mobilité internationale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attribuée aux étudiants boursiers qui suivent une formation supérieure à l’étranger, ou qui effectuent un stage international.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30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67C63127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Aide à la mobilité pour l’étudiant en Master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destinée aux étudiants boursiers qui poursuivent leurs études supérieures en Master dans une autre région académique.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hyperlink r:id="rId31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Plus d’infos sur Service-Public.fr</w:t>
        </w:r>
      </w:hyperlink>
    </w:p>
    <w:p w14:paraId="39588633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Logement étudiant du Crous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logements en résidence universitaire attribués sous conditions (études, âge, diplômes, nationalité et ressources).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32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trouverunlogement.lescrous.fr</w:t>
        </w:r>
      </w:hyperlink>
    </w:p>
    <w:p w14:paraId="142134FC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Allocation de logement social (ALS)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versée aux étudiants qui résident dans tous types de logements non conventionnés.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33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58FA74F2" w14:textId="77777777" w:rsidR="00D2741F" w:rsidRPr="00D2741F" w:rsidRDefault="00D2741F" w:rsidP="00D2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27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Aide personnalisée au logement (APL)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versée aux étudiants qui résident dans un logement conventionné, afin de réduire le montant du loyer.</w:t>
      </w:r>
      <w:r w:rsidRPr="00D2741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Plus d’infos sur </w:t>
      </w:r>
      <w:hyperlink r:id="rId34" w:history="1">
        <w:r w:rsidRPr="00D2741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Service-Public.fr</w:t>
        </w:r>
      </w:hyperlink>
    </w:p>
    <w:p w14:paraId="4C936BDD" w14:textId="77777777" w:rsidR="002F6D13" w:rsidRDefault="002F6D13"/>
    <w:sectPr w:rsidR="002F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1053F"/>
    <w:rsid w:val="0014585D"/>
    <w:rsid w:val="00260F52"/>
    <w:rsid w:val="00287301"/>
    <w:rsid w:val="002F6D13"/>
    <w:rsid w:val="00503738"/>
    <w:rsid w:val="00553F3D"/>
    <w:rsid w:val="006E0148"/>
    <w:rsid w:val="007337FB"/>
    <w:rsid w:val="007A5644"/>
    <w:rsid w:val="007E62F2"/>
    <w:rsid w:val="00837BF8"/>
    <w:rsid w:val="00946673"/>
    <w:rsid w:val="009E0D80"/>
    <w:rsid w:val="00A00A48"/>
    <w:rsid w:val="00B92C75"/>
    <w:rsid w:val="00CA75F7"/>
    <w:rsid w:val="00D2741F"/>
    <w:rsid w:val="00F90CB1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E3DE"/>
  <w15:chartTrackingRefBased/>
  <w15:docId w15:val="{7F77CAC5-052A-421A-9909-3B396D6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s.gouv.fr/pass-sport-une-aide-financiere-la-pratique-sportive-295" TargetMode="External"/><Relationship Id="rId13" Type="http://schemas.openxmlformats.org/officeDocument/2006/relationships/hyperlink" Target="https://calculateur-bourses.education.gouv.fr/cabs/api/v1/college/simulateur.html" TargetMode="External"/><Relationship Id="rId18" Type="http://schemas.openxmlformats.org/officeDocument/2006/relationships/hyperlink" Target="https://www.service-public.fr/particuliers/vosdroits/F33868" TargetMode="External"/><Relationship Id="rId26" Type="http://schemas.openxmlformats.org/officeDocument/2006/relationships/hyperlink" Target="https://www.service-public.fr/particuliers/vosdroits/F1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ervice-public.fr/particuliers/vosdroits/F19294" TargetMode="External"/><Relationship Id="rId34" Type="http://schemas.openxmlformats.org/officeDocument/2006/relationships/hyperlink" Target="https://www.service-public.fr/particuliers/vosdroits/F12006" TargetMode="External"/><Relationship Id="rId7" Type="http://schemas.openxmlformats.org/officeDocument/2006/relationships/hyperlink" Target="https://www.agissonspourlegalite.fr" TargetMode="External"/><Relationship Id="rId12" Type="http://schemas.openxmlformats.org/officeDocument/2006/relationships/hyperlink" Target="https://www.asp-public.fr/aides/cantine-a-1-euro" TargetMode="External"/><Relationship Id="rId17" Type="http://schemas.openxmlformats.org/officeDocument/2006/relationships/hyperlink" Target="https://calculateur-bourses.education.gouv.fr/cabs/api/v1/lycee/simulateur.html" TargetMode="External"/><Relationship Id="rId25" Type="http://schemas.openxmlformats.org/officeDocument/2006/relationships/hyperlink" Target="https://www.ploss.fr" TargetMode="External"/><Relationship Id="rId33" Type="http://schemas.openxmlformats.org/officeDocument/2006/relationships/hyperlink" Target="https://www.service-public.fr/particuliers/vosdroits/F12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rvice-public.fr/particuliers/vosdroits/F1886" TargetMode="External"/><Relationship Id="rId20" Type="http://schemas.openxmlformats.org/officeDocument/2006/relationships/hyperlink" Target="https://www.service-public.fr/particuliers/vosdroits/F1025" TargetMode="External"/><Relationship Id="rId29" Type="http://schemas.openxmlformats.org/officeDocument/2006/relationships/hyperlink" Target="https://amp.etudiant.gouv.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rvice-public.fr/particuliers/vosdroits/F33680" TargetMode="External"/><Relationship Id="rId11" Type="http://schemas.openxmlformats.org/officeDocument/2006/relationships/hyperlink" Target="https://www.service-public.fr/particuliers/vosdroits/F1883" TargetMode="External"/><Relationship Id="rId24" Type="http://schemas.openxmlformats.org/officeDocument/2006/relationships/hyperlink" Target="https://www.lescrous.fr/nos-services/une-offre-de-services-riche-et-de-qualite-pour-tous-les-etudiants/" TargetMode="External"/><Relationship Id="rId32" Type="http://schemas.openxmlformats.org/officeDocument/2006/relationships/hyperlink" Target="https://trouverunlogement.lescrous.fr/" TargetMode="External"/><Relationship Id="rId5" Type="http://schemas.openxmlformats.org/officeDocument/2006/relationships/hyperlink" Target="https://www.caf.fr/allocataires/aides-et-demarches/droits-et-prestations/handicap/l-allocation-d-education-de-l-enfant-handicape-aeeh" TargetMode="External"/><Relationship Id="rId15" Type="http://schemas.openxmlformats.org/officeDocument/2006/relationships/hyperlink" Target="https://www.service-public.fr/particuliers/vosdroits/F19294" TargetMode="External"/><Relationship Id="rId23" Type="http://schemas.openxmlformats.org/officeDocument/2006/relationships/hyperlink" Target="https://www.service-public.fr/particuliers/vosdroits/F32915" TargetMode="External"/><Relationship Id="rId28" Type="http://schemas.openxmlformats.org/officeDocument/2006/relationships/hyperlink" Target="https://www.service-public.fr/particuliers/vosdroits/F340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sp-public.fr/aides/cantine-a-1-euro" TargetMode="External"/><Relationship Id="rId19" Type="http://schemas.openxmlformats.org/officeDocument/2006/relationships/hyperlink" Target="https://www.service-public.fr/particuliers/vosdroits/F32928" TargetMode="External"/><Relationship Id="rId31" Type="http://schemas.openxmlformats.org/officeDocument/2006/relationships/hyperlink" Target="https://www.service-public.fr/particuliers/vosdroits/F34343" TargetMode="External"/><Relationship Id="rId4" Type="http://schemas.openxmlformats.org/officeDocument/2006/relationships/hyperlink" Target="https://www.caf.fr/allocataires/aides-et-demarches/droits-et-prestations/vie-personnelle/l-allocation-de-rentree-scolaire-ars" TargetMode="External"/><Relationship Id="rId9" Type="http://schemas.openxmlformats.org/officeDocument/2006/relationships/hyperlink" Target="https://www.caf.fr/allocataires/aides-et-demarches/droits-et-prestations/vie-personnelle/le-complement-de-libre-choix-du-mode-de-garde-cmg" TargetMode="External"/><Relationship Id="rId14" Type="http://schemas.openxmlformats.org/officeDocument/2006/relationships/hyperlink" Target="https://www.service-public.fr/particuliers/vosdroits/F1025" TargetMode="External"/><Relationship Id="rId22" Type="http://schemas.openxmlformats.org/officeDocument/2006/relationships/hyperlink" Target="https://www.service-public.fr/particuliers/vosdroits/F1886" TargetMode="External"/><Relationship Id="rId27" Type="http://schemas.openxmlformats.org/officeDocument/2006/relationships/hyperlink" Target="https://www.service-public.fr/particuliers/vosdroits/F1024" TargetMode="External"/><Relationship Id="rId30" Type="http://schemas.openxmlformats.org/officeDocument/2006/relationships/hyperlink" Target="https://www.service-public.fr/particuliers/vosdroits/F3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1349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2023-11-03T13:26:00Z</dcterms:created>
  <dcterms:modified xsi:type="dcterms:W3CDTF">2023-11-03T13:37:00Z</dcterms:modified>
</cp:coreProperties>
</file>